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48512" w14:textId="216BE625" w:rsidR="008C5FE5" w:rsidRPr="00AD704E" w:rsidRDefault="00AD704E" w:rsidP="00B92D0F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AD704E">
        <w:rPr>
          <w:rFonts w:ascii="Times New Roman" w:eastAsia="Times New Roman" w:hAnsi="Times New Roman" w:cs="Times New Roman"/>
          <w:b/>
          <w:bCs/>
        </w:rPr>
        <w:tab/>
      </w:r>
      <w:r w:rsidRPr="00AD704E">
        <w:rPr>
          <w:rFonts w:ascii="Times New Roman" w:eastAsia="Times New Roman" w:hAnsi="Times New Roman" w:cs="Times New Roman"/>
          <w:b/>
          <w:bCs/>
        </w:rPr>
        <w:tab/>
        <w:t>PRIJEDLOG</w:t>
      </w:r>
    </w:p>
    <w:p w14:paraId="3691A662" w14:textId="77777777" w:rsidR="00675A85" w:rsidRDefault="00675A85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0CA8C2D7" w14:textId="77777777" w:rsidR="009D09C4" w:rsidRPr="009D09C4" w:rsidRDefault="009D09C4" w:rsidP="009D09C4">
      <w:pPr>
        <w:spacing w:after="200" w:line="276" w:lineRule="auto"/>
        <w:rPr>
          <w:rFonts w:ascii="Times New Roman" w:eastAsia="Times New Roman" w:hAnsi="Times New Roman" w:cs="Times New Roman"/>
          <w:b/>
          <w:bCs/>
          <w:noProof w:val="0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</w:rPr>
        <w:tab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6222"/>
      </w:tblGrid>
      <w:tr w:rsidR="009D09C4" w:rsidRPr="009D09C4" w14:paraId="50F2910C" w14:textId="77777777" w:rsidTr="00572B5E">
        <w:trPr>
          <w:trHeight w:val="1152"/>
        </w:trPr>
        <w:tc>
          <w:tcPr>
            <w:tcW w:w="1008" w:type="dxa"/>
          </w:tcPr>
          <w:p w14:paraId="41475F4A" w14:textId="77777777" w:rsidR="009D09C4" w:rsidRPr="009D09C4" w:rsidRDefault="009D09C4" w:rsidP="009D09C4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ar-SA"/>
              </w:rPr>
            </w:pPr>
          </w:p>
        </w:tc>
        <w:tc>
          <w:tcPr>
            <w:tcW w:w="6222" w:type="dxa"/>
            <w:hideMark/>
          </w:tcPr>
          <w:p w14:paraId="6A1F61A9" w14:textId="77777777" w:rsidR="009D09C4" w:rsidRPr="009D09C4" w:rsidRDefault="009D09C4" w:rsidP="009D09C4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</w:t>
            </w:r>
            <w:r w:rsidRPr="009D09C4">
              <w:rPr>
                <w:rFonts w:ascii="Calibri" w:eastAsia="Times New Roman" w:hAnsi="Calibri" w:cs="Times New Roman"/>
              </w:rPr>
              <w:drawing>
                <wp:inline distT="0" distB="0" distL="0" distR="0" wp14:anchorId="017BD0C9" wp14:editId="06054FC4">
                  <wp:extent cx="552450" cy="685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9C4" w:rsidRPr="009D09C4" w14:paraId="7385CBE4" w14:textId="77777777" w:rsidTr="00572B5E">
        <w:tc>
          <w:tcPr>
            <w:tcW w:w="1008" w:type="dxa"/>
            <w:hideMark/>
          </w:tcPr>
          <w:p w14:paraId="04B34E7B" w14:textId="77777777" w:rsidR="009D09C4" w:rsidRPr="009D09C4" w:rsidRDefault="009D09C4" w:rsidP="009D09C4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drawing>
                <wp:inline distT="0" distB="0" distL="0" distR="0" wp14:anchorId="14D1D425" wp14:editId="50C4486B">
                  <wp:extent cx="495300" cy="600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2" w:type="dxa"/>
            <w:hideMark/>
          </w:tcPr>
          <w:p w14:paraId="6DD68558" w14:textId="77777777" w:rsidR="009D09C4" w:rsidRPr="009D09C4" w:rsidRDefault="009D09C4" w:rsidP="009D09C4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REPUBLIKA HRVATSKA</w:t>
            </w:r>
          </w:p>
          <w:p w14:paraId="59C677CE" w14:textId="77777777" w:rsidR="009D09C4" w:rsidRPr="009D09C4" w:rsidRDefault="009D09C4" w:rsidP="009D09C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BJELOVARSKO-BILOGORSKA ŽUPANIJA</w:t>
            </w:r>
          </w:p>
          <w:p w14:paraId="2DEEF6F9" w14:textId="77777777" w:rsidR="009D09C4" w:rsidRPr="009D09C4" w:rsidRDefault="009D09C4" w:rsidP="009D09C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GRAD ČAZMA</w:t>
            </w:r>
          </w:p>
          <w:p w14:paraId="43857FD4" w14:textId="77777777" w:rsidR="009D09C4" w:rsidRPr="009D09C4" w:rsidRDefault="009D09C4" w:rsidP="009D09C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9D09C4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 xml:space="preserve">GRADSKO VIJEĆE </w:t>
            </w:r>
          </w:p>
        </w:tc>
      </w:tr>
    </w:tbl>
    <w:p w14:paraId="6EEBEEE6" w14:textId="77777777" w:rsidR="009D09C4" w:rsidRPr="009D09C4" w:rsidRDefault="009D09C4" w:rsidP="009D09C4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0"/>
          <w:lang w:val="de-DE" w:eastAsia="ar-SA"/>
        </w:rPr>
      </w:pPr>
    </w:p>
    <w:p w14:paraId="6C38DE2B" w14:textId="520B25BF" w:rsidR="009D09C4" w:rsidRPr="009D09C4" w:rsidRDefault="009D09C4" w:rsidP="009D09C4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KLASA: 602-01/2</w:t>
      </w:r>
      <w:r w:rsidR="00AD704E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5</w:t>
      </w: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-01/01  </w:t>
      </w:r>
    </w:p>
    <w:p w14:paraId="5CB0181F" w14:textId="589DCB5C" w:rsidR="009D09C4" w:rsidRPr="009D09C4" w:rsidRDefault="009D09C4" w:rsidP="009D09C4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URBROJ: 2103-2-05/01-2</w:t>
      </w:r>
      <w:r w:rsidR="00AD704E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5</w:t>
      </w: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-</w:t>
      </w:r>
      <w:r w:rsidR="00AD704E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3</w:t>
      </w:r>
    </w:p>
    <w:p w14:paraId="6A9A4AE1" w14:textId="52D695A6" w:rsidR="009D09C4" w:rsidRPr="009D09C4" w:rsidRDefault="009D09C4" w:rsidP="009D09C4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Čazma, </w:t>
      </w:r>
      <w:r w:rsidR="00AD704E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______________</w:t>
      </w:r>
    </w:p>
    <w:p w14:paraId="3C378FF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A9B356C" w14:textId="6C80DCD8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Na temelju točke 5. Odluke o kriterijima i mjerilima za utvrđivanje bilančnih prava za financiranje minimalnog financijskog standarda javnih potreba osnovnog školstva u 2024. godini  („Narodne novine“, broj 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16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/2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), u vezi s Uredbom Vlade Republike Hrvatske o načinu financiranja decentraliziranih funkcija te izračuna iznosa pomoći izravnanja za decentralizirane funkcije jedinica lokalne i područne (regionalne) samouprave za 202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godinu („Narodne novine“, broj 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16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/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25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) i članka 34. Statuta Grada Čazme („Službeni vjesnik“ broj 13/21), Gradsko vijeće Grada Čazme na svojoj 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____ 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sjednici  održanoj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="00E16170">
        <w:rPr>
          <w:rFonts w:ascii="Times New Roman" w:eastAsia="Times New Roman" w:hAnsi="Times New Roman" w:cs="Times New Roman"/>
          <w:noProof w:val="0"/>
          <w:sz w:val="24"/>
          <w:szCs w:val="24"/>
        </w:rPr>
        <w:t>______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donosi</w:t>
      </w:r>
    </w:p>
    <w:p w14:paraId="6F5D54A3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ODLUKU</w:t>
      </w:r>
    </w:p>
    <w:p w14:paraId="6A84DA56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o kriterijima i mjerilima te načinu financiranja</w:t>
      </w:r>
    </w:p>
    <w:p w14:paraId="05B90F74" w14:textId="2E4858FE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decentraliziranih funkcija osnovnog školstva u Gradu Čazmi u 202</w:t>
      </w:r>
      <w:r w:rsidR="00E16170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. godini</w:t>
      </w:r>
    </w:p>
    <w:p w14:paraId="2792926F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3D087621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1.</w:t>
      </w:r>
    </w:p>
    <w:p w14:paraId="08A8A69C" w14:textId="1515BFFC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Ovom se Odlukom o kriterijima, mjerilima i načinu financiranja decentraliziranih funkcija osnovnog školstva u Gradu Čazmi u 202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godini (u daljnjem tekstu: Odluka) utvrđuje način financiranja decentraliziranih funkcija u osnovnom školstvu u Gradu Čazmi u 202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godini, vrste financiranih rashoda te kriteriji i mjerila za osiguravanje minimalnog financijskog standarda osnovne škole u okvirima planiranih sredstava.</w:t>
      </w:r>
    </w:p>
    <w:p w14:paraId="490C6140" w14:textId="4D393393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Rashodi iz stavka 1. ovoga članka utvrđuju se u okviru bilančnih prava utvrđenih Odlukom o kriterijima i mjerilima za utvrđivanje bilančnih prava za financiranje minimalnog financijskog standarda javnih potreba osnovnog školstva u 202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godini ("Narodne novine" broj  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16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/2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; u daljnjem tekstu: Odluka Vlade).</w:t>
      </w:r>
    </w:p>
    <w:p w14:paraId="7AFB9F06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2.</w:t>
      </w:r>
    </w:p>
    <w:p w14:paraId="2210B406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Gradu Čazmi kao nositelju financiranja i osnivaču Osnovne škole Čazma priznaju se, u visini koja osigurava minimalni financijski standard osnovnih škola određen Odlukom Vlade, ukupna bilančna prava za financiranje materijalnih i financijskih rashoda osnovnih škola, rashoda za materijal i dijelove za tekuće investicijsko održavanje i za usluge tekućeg i investicijskog održavanja te rashoda za nabavu proizvedene dugotrajne imovine i dodatna ulaganja na nefinancijskoj imovini.</w:t>
      </w:r>
    </w:p>
    <w:p w14:paraId="75D713FB" w14:textId="612B56FA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 xml:space="preserve">U Odluci Vlade se u okviru bilančnih prava za Grad Čazmu osiguravaju sredstva u ukupnom iznosu od </w:t>
      </w:r>
      <w:r w:rsidR="0017581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305.538</w:t>
      </w: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 EURA,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od čega se iznos od:</w:t>
      </w:r>
    </w:p>
    <w:p w14:paraId="5726812A" w14:textId="214D29EB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• 2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67.808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EURA odnosi na materijalne i financijske rashode te na rashode za materijal i dijelove za tekuće i investicijsko održavanje</w:t>
      </w:r>
    </w:p>
    <w:p w14:paraId="7B360132" w14:textId="37F99E42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• 3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>7.730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EURA odnosi na rashode za nabavu proizvedene dugotrajne imovine i dodatna ulaganja na nefinancijskoj imovini </w:t>
      </w:r>
    </w:p>
    <w:p w14:paraId="61D8CC4E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3.</w:t>
      </w:r>
    </w:p>
    <w:p w14:paraId="5522B0F7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Svi prihodi i rashodi proračunskih korisnika planiraju se i izvršavaju u Proračunu Grada Čazme. </w:t>
      </w:r>
    </w:p>
    <w:p w14:paraId="2EEBCB66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Grad Čazma kao osnivač Osnovne škole Čazma donosi ovu Odluku temeljem kriterija i mjerila u Odluci Vlade, a u skladu s iskazanim planovima i potrebama Osnovne škole Čazma.</w:t>
      </w:r>
    </w:p>
    <w:p w14:paraId="26E6CF77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4.</w:t>
      </w:r>
    </w:p>
    <w:p w14:paraId="7FB1BFAD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Materijalni i financijski rashodi obuhvaćaju rashode nužne za realizaciju nastavnog plana i programa osnovnoškolskog obrazovanja.</w:t>
      </w:r>
    </w:p>
    <w:p w14:paraId="61133992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Tekuće i investicijsko održavanje obuhvaća sredstva za tekuće održavanje građevina te za hitne intervencije, tekuće popravke i otklanjanje nedostataka utvrđenih od strane ovlaštenih pravnih osoba i drugih nadležnih tijela, a koja se planiraju u okviru financijskog plana.</w:t>
      </w:r>
    </w:p>
    <w:p w14:paraId="39947B45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Rashodi za</w:t>
      </w:r>
      <w:r w:rsidRPr="009D09C4">
        <w:rPr>
          <w:rFonts w:ascii="Calibri" w:eastAsia="Times New Roman" w:hAnsi="Calibri" w:cs="Times New Roman"/>
          <w:noProof w:val="0"/>
        </w:rPr>
        <w:t xml:space="preserve"> 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nabavu proizvedene dugotrajne imovine i dodatna ulaganja na nefinancijskoj imovini obuhvaćaju sredstva nužna za realizaciju kapitalnih projekata.</w:t>
      </w:r>
    </w:p>
    <w:p w14:paraId="1049C8C1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5.</w:t>
      </w:r>
    </w:p>
    <w:p w14:paraId="79A760E9" w14:textId="1B1B5E90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Kriteriji i mjerila za financiranje općih materijalnih troškova škola su broj učenika, broj razrednih odjela, broj matičnih škola i broj područnih škola, a mjerila su mjesečni, odnosno godišnji iznos određen prema broju učenika, broju razrednih odjela i broju školskih zgrada u </w:t>
      </w:r>
      <w:r w:rsidR="0017581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prošloj 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školskoj godini na osnovi prosječnih kalkulativnih cijena propisanih Odlukom Vlade.</w:t>
      </w:r>
    </w:p>
    <w:p w14:paraId="253DD1D1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Unutar općih troškova raspodjela po pojedinim vrstama rashoda određuje se prema stvarnim potrebama škole, sukladno planiranim iznosima unutar financijskog plana Osnovne  škole Čazma.</w:t>
      </w:r>
    </w:p>
    <w:p w14:paraId="4FA70C7A" w14:textId="2DCF6236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Ukupna godišnja sredstva Odlukom Vlade bilancirana su u iznosu kojim se osigurava minimalni financijski standard osnovnih škola, a osnivačima osnovnoškolskih ustanova omogućena je njihova preraspodjela po krajnjim korisnicima i namjenama u skladu s objektivnim potrebama osnovnog školstva za financiranje sustava u 202</w:t>
      </w:r>
      <w:r w:rsidR="00D01868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godini.</w:t>
      </w:r>
    </w:p>
    <w:p w14:paraId="56967E15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6.</w:t>
      </w:r>
    </w:p>
    <w:p w14:paraId="666FDCB2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Kriteriji i mjerila za utvrđivanje raspodjele sredstava unutar rashoda za materijal, dijelove i usluge tekućeg i investicijskog održavanja su dijelom opseg djelatnosti, a dijelom utvrđene stvarne potrebe škole za nužnim zahvatima.</w:t>
      </w:r>
    </w:p>
    <w:p w14:paraId="6C72762C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7.</w:t>
      </w:r>
    </w:p>
    <w:p w14:paraId="7E2C6A32" w14:textId="77777777" w:rsid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Kriteriji i mjerila za utvrđivanje raspodjele sredstava unutar rashoda za nabavu proizvedene dugotrajne imovine i dodatna ulaganja na nefinancijskoj imovini su praćenje stanja osnovnoškolskih građevina, iskazanih potreba osnovne škole i procijenjenih prioriteta.</w:t>
      </w:r>
    </w:p>
    <w:p w14:paraId="3AAE8737" w14:textId="77777777" w:rsidR="00D01868" w:rsidRPr="009D09C4" w:rsidRDefault="00D01868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8F2F5E1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lastRenderedPageBreak/>
        <w:t>Članak 8.</w:t>
      </w:r>
    </w:p>
    <w:p w14:paraId="6BCF7A00" w14:textId="51E98BA2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U skladu s odredbama Odluke Vlade i Uredbe Vlade Republike Hrvatske o načinu financiranja decentraliziranih funkcija te izračuna iznosa pomoći izravnanja za decentralizirane funkcije jedinica lokalne i područne (regionalne) samouprave za 202</w:t>
      </w:r>
      <w:r w:rsidR="00D01868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godinu („Narodne novine“, broj  </w:t>
      </w:r>
      <w:r w:rsidR="00D01868">
        <w:rPr>
          <w:rFonts w:ascii="Times New Roman" w:eastAsia="Times New Roman" w:hAnsi="Times New Roman" w:cs="Times New Roman"/>
          <w:noProof w:val="0"/>
          <w:sz w:val="24"/>
          <w:szCs w:val="24"/>
        </w:rPr>
        <w:t>16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/2</w:t>
      </w:r>
      <w:r w:rsidR="00D01868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), ova će se Odluka provoditi na sljedeći način:</w:t>
      </w:r>
    </w:p>
    <w:p w14:paraId="118833DC" w14:textId="6C66AF34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1. Osnovnoj školi Čazma će se na temelju stvarno nastalih troškova doznačivati sredstva za materijalne i financijske rashode te rashode za tekuće i investicijsko održavanje. Ukupan iznos sredstava za 202</w:t>
      </w:r>
      <w:r w:rsidR="00D01868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iznosi naveden je u tablici 1. u prilogu ove Odluke. Sva isplata sredstava vršit će se na račun Osnovne škole Čazma po dostavi zahtjeva škole i ovjeri Upravnog odjela za društvene djelatnosti, obrazovanje i odnose s javnošću.</w:t>
      </w:r>
    </w:p>
    <w:p w14:paraId="313A3B17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1F9B5B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2. Stvarni troškovi prijevoza učenika u tekućoj godini oduzimaju se od ukupnog iznosa utvrđenog za materijalne i financijske rashode Osnovne škole Čazma tako da Grad Čazma, troškove plaća izravno autoprijevozniku, što je u skladu sa člankom 69. Zakona o odgoju i obrazovanju u osnovnoj i srednjoj školi („Narodne novine“, broj 87/08, 86/09, 92/10, 105/10, 90/11, 5/12, 16/12, 86/12, 126/12, 94/13, 152/14, 07/17, 68/18, 98/19, 64/20, 151/22, 155/23, 156/23).</w:t>
      </w:r>
    </w:p>
    <w:p w14:paraId="03BD6848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Sredstva namijenjena za prijevoz učenika osnovnih škola posebnim linijskim prijevozom namjenski se koriste za prijevoz učenika, za potrebe odgojno-obrazovnog procesa, u okviru nastavnog plana i programa, a isplaćuju se prijevoznicima po ispostavljenom računu temeljem zaključenih ugovora.</w:t>
      </w:r>
    </w:p>
    <w:p w14:paraId="14563F1E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Ravnatelj osnovne škole dužan je svakodnevno pratiti provedbu prijevoza učenika te za svaki mjesec dostavljati mjesečno izvješće o obavljenom prijevozu, kao osnovu za likvidiranje računa prijevoznika.</w:t>
      </w:r>
    </w:p>
    <w:p w14:paraId="4BC014C6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Upravni odjel za društvene djelatnosti, obrazovanje i odnose s javnošću obavlja računsku i suštinsku kontrolu ispostavljenog računa prijevoznika na temelju cijene iz zaključenog ugovora i radnih dana za koje je prijevoz izvršen te likvidira račun prijevoznika na temelju mjesečnog izvješća osnovne škole o izvršenoj usluzi prijevoza učenika i prosljeđuje ga na plaćanje.</w:t>
      </w:r>
    </w:p>
    <w:p w14:paraId="22E9D695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FD9E61F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3. Rashodi za materijalne i financijske rashode te rashode za tekuće investicijsko održavanje namijenjena su za sljedeće rashode: </w:t>
      </w:r>
    </w:p>
    <w:p w14:paraId="655E24D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Službena putovanja</w:t>
      </w:r>
    </w:p>
    <w:p w14:paraId="67B8A71E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Stručno usavršavanje zaposlenika</w:t>
      </w:r>
    </w:p>
    <w:p w14:paraId="31F027A1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Uredski materijal i ostali materijalni rashodi</w:t>
      </w:r>
    </w:p>
    <w:p w14:paraId="652D1D62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Materijal i sirovine</w:t>
      </w:r>
    </w:p>
    <w:p w14:paraId="0ECD26E6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Energija</w:t>
      </w:r>
    </w:p>
    <w:p w14:paraId="6F5A076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Materijal i dijelovi za tekuće i investicijsko održavanje</w:t>
      </w:r>
    </w:p>
    <w:p w14:paraId="6BDB60BF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Sitni inventar i auto gume</w:t>
      </w:r>
    </w:p>
    <w:p w14:paraId="5A1B6750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Službena, radna i zaštitna odjeća i obuća</w:t>
      </w:r>
    </w:p>
    <w:p w14:paraId="68573F80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Usluge telefona, pošte i prijevoza</w:t>
      </w:r>
    </w:p>
    <w:p w14:paraId="762C10B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>- Usluge tekućeg i investicijskog održavanja</w:t>
      </w:r>
    </w:p>
    <w:p w14:paraId="138A99BF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Usluge promidžbe i informiranja</w:t>
      </w:r>
    </w:p>
    <w:p w14:paraId="4738F6B3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Komunalne usluge</w:t>
      </w:r>
    </w:p>
    <w:p w14:paraId="6F5D0159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Zakupnine i najamnine</w:t>
      </w:r>
    </w:p>
    <w:p w14:paraId="5E09A8BE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Zdravstvene i veterinarske usluge</w:t>
      </w:r>
    </w:p>
    <w:p w14:paraId="339B7324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Intelektualne i osobne usluge</w:t>
      </w:r>
    </w:p>
    <w:p w14:paraId="6D9CF80E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Računalne usluge</w:t>
      </w:r>
    </w:p>
    <w:p w14:paraId="39E511F8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Ostale usluge</w:t>
      </w:r>
    </w:p>
    <w:p w14:paraId="23EF2BB1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- Premije osiguranja </w:t>
      </w:r>
    </w:p>
    <w:p w14:paraId="296BDB8D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Članarine i norme</w:t>
      </w:r>
    </w:p>
    <w:p w14:paraId="29D2772E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Pristojbe i naknade</w:t>
      </w:r>
    </w:p>
    <w:p w14:paraId="0A32FA14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Ostali nespomenuti rashodi poslovanja</w:t>
      </w:r>
    </w:p>
    <w:p w14:paraId="60B086FD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Bankarske usluge i usluge platnog prometa</w:t>
      </w:r>
    </w:p>
    <w:p w14:paraId="6F377AD0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Osnovnoj školi Čazma će se sredstva doznačivati na temelju stvarno nastalih troškova.  </w:t>
      </w:r>
    </w:p>
    <w:p w14:paraId="3E6F74C6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4DFA978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4. Rashodi za nabavu proizvedene dugotrajne imovine i dodatna ulaganja na nefinancijskoj imovini podrazumijevaju ulaganja u kapitalne projekte koji se odnose na projektiranje, izgradnju i opremanje nove građevine, kao i na nadogradnju, rekonstrukciju i opremanje postojećih građevina. </w:t>
      </w:r>
    </w:p>
    <w:p w14:paraId="23753CC2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Škola je dužna na zahtjev Grada Čazme prijaviti svoje potrebe za kapitalnom gradnjom, rekonstrukcijom i sanacijom građevina za čije je ostvarivanje potrebito višegodišnje ulaganje, za nabavom nove opreme, zamjenom dotrajale opreme, nabavom nedostatnih nastavnih sredstava i pomagala s procjenom vrijednosti tih potreba. Na temelju dostavljenih prijava,   Grad Čazma ocjenjuje opravdanost iskazanih potreba i odobrava financijska sredstva putem zahtjeva škole.   </w:t>
      </w:r>
    </w:p>
    <w:p w14:paraId="63A8A1FC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Planirani rashodi za nabavu nefinancijske imovine obuhvaćaju: </w:t>
      </w:r>
    </w:p>
    <w:p w14:paraId="575B33A3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- Poslovni objekti </w:t>
      </w:r>
    </w:p>
    <w:p w14:paraId="60D8CE0D" w14:textId="77777777" w:rsid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Uredska oprema i namještaj</w:t>
      </w:r>
    </w:p>
    <w:p w14:paraId="3ECC634E" w14:textId="33F6D3F6" w:rsidR="001C469A" w:rsidRPr="009D09C4" w:rsidRDefault="001C469A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- Oprema za održavanje i zaštitu</w:t>
      </w:r>
    </w:p>
    <w:p w14:paraId="7865C0C1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Sportska i glazbena oprema</w:t>
      </w:r>
    </w:p>
    <w:p w14:paraId="72A0ABDD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- Uređaji, strojevi i oprema za ostale namjene</w:t>
      </w:r>
    </w:p>
    <w:p w14:paraId="18EE31F4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4FF0A14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5. Sredstva koja ostvare kao vlastite prihode osnovne škole nisu obvezne doznačiti u korist Grada Čazme, već ih u skladu s odlukom školskog odbora koriste prema svojim potrebama i planovima, a o njihovom trošenju dva puta godišnje obavještavaju Grad Čazmu za potrebe izrade izvješća, polugodišnji i godišnji izvještaj o izvršenju proračuna.</w:t>
      </w:r>
    </w:p>
    <w:p w14:paraId="473249BA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F4341B4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9.</w:t>
      </w:r>
    </w:p>
    <w:p w14:paraId="023C8E21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Grad Čazma će sredstva za rashode za materijal, dijelove i usluge tekućeg i investicijskog održavanja te sredstva za rashode za nabavu proizvedene dugotrajne imovine i dodatna ulaganja na nefinancijskoj imovini realizirati u skladu sa zakonom kojim se uređuje javna nabava.</w:t>
      </w:r>
    </w:p>
    <w:p w14:paraId="682545A7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10.</w:t>
      </w:r>
    </w:p>
    <w:p w14:paraId="78EE0450" w14:textId="77777777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Ravnatelj Osnovne škole Čazma odgovoran je za točnost, pravovremenost i istinitost iskazanih podataka za rashode koji se financiraju na temelju ove Odluke te za namjensko trošenje tih sredstava.</w:t>
      </w:r>
    </w:p>
    <w:p w14:paraId="5E287070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11.</w:t>
      </w:r>
    </w:p>
    <w:p w14:paraId="506E70CC" w14:textId="17BA853E" w:rsidR="009D09C4" w:rsidRP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Usklađenje Proračuna Grada Čazme te Financijskog plana Osnovne škole Čazma za  202</w:t>
      </w:r>
      <w:r w:rsidR="00354B07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godinu sa sredstvima planiranim ovom Odlukom izvršit će se prvim izmjenama i dopunama Proračuna Grada Čazme za 202</w:t>
      </w:r>
      <w:r w:rsidR="00354B07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godinu, jer je Odluka Vlade donijeta nakon usvajanja Proračuna Grada Čazme za 202</w:t>
      </w:r>
      <w:r w:rsidR="00354B07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</w:p>
    <w:p w14:paraId="37EA2278" w14:textId="77777777" w:rsidR="009D09C4" w:rsidRPr="009D09C4" w:rsidRDefault="009D09C4" w:rsidP="009D09C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12.</w:t>
      </w:r>
    </w:p>
    <w:p w14:paraId="2C391FB3" w14:textId="77777777" w:rsidR="009D09C4" w:rsidRDefault="009D09C4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Ova Odluka stupa na snagu osam dana od dana objave u Službenom vjesniku. </w:t>
      </w:r>
    </w:p>
    <w:p w14:paraId="200B9AC7" w14:textId="77777777" w:rsidR="00964D26" w:rsidRPr="009D09C4" w:rsidRDefault="00964D26" w:rsidP="009D09C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681E228" w14:textId="77777777" w:rsidR="009D09C4" w:rsidRPr="009D09C4" w:rsidRDefault="009D09C4" w:rsidP="009D09C4">
      <w:pPr>
        <w:tabs>
          <w:tab w:val="left" w:pos="708"/>
          <w:tab w:val="center" w:pos="4536"/>
          <w:tab w:val="right" w:pos="9072"/>
        </w:tabs>
        <w:ind w:left="4536"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PREDSJEDNIK GRADSKOG VIJEĆA</w:t>
      </w:r>
    </w:p>
    <w:p w14:paraId="5FCDE0FC" w14:textId="77777777" w:rsidR="009D09C4" w:rsidRPr="009D09C4" w:rsidRDefault="009D09C4" w:rsidP="009D09C4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783D162F" w14:textId="77777777" w:rsidR="009D09C4" w:rsidRPr="009D09C4" w:rsidRDefault="009D09C4" w:rsidP="009D09C4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9D09C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                                                                  Branko Novković, mag.med.techn. </w:t>
      </w:r>
    </w:p>
    <w:p w14:paraId="73CDCD57" w14:textId="77777777" w:rsidR="00964D26" w:rsidRDefault="00964D26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B141C1F" w14:textId="77777777" w:rsidR="00964D26" w:rsidRDefault="00964D26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A8905D4" w14:textId="783D8494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Tablica 1. </w:t>
      </w:r>
    </w:p>
    <w:p w14:paraId="55B1807D" w14:textId="46D47F80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Planirani materijalni i financijski rashodi i rashodi za nabavu proizvedene dugotrajne imovine te rashodi za nabavu proizvedene dugotrajne imovine Osnovne škole Čazma za 202</w:t>
      </w:r>
      <w:r w:rsidR="00354B07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>. godinu (</w:t>
      </w:r>
      <w:r w:rsidRPr="009D09C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iz izvora pomoći izravnanja za decentralizirane funkcije</w:t>
      </w:r>
      <w:r w:rsidRPr="009D09C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): </w:t>
      </w:r>
    </w:p>
    <w:tbl>
      <w:tblPr>
        <w:tblStyle w:val="TableGrid2"/>
        <w:tblW w:w="9634" w:type="dxa"/>
        <w:tblLook w:val="04A0" w:firstRow="1" w:lastRow="0" w:firstColumn="1" w:lastColumn="0" w:noHBand="0" w:noVBand="1"/>
      </w:tblPr>
      <w:tblGrid>
        <w:gridCol w:w="2972"/>
        <w:gridCol w:w="2126"/>
        <w:gridCol w:w="2268"/>
        <w:gridCol w:w="2268"/>
      </w:tblGrid>
      <w:tr w:rsidR="009D09C4" w:rsidRPr="009D09C4" w14:paraId="6E5E3A92" w14:textId="77777777" w:rsidTr="00572B5E">
        <w:tc>
          <w:tcPr>
            <w:tcW w:w="2972" w:type="dxa"/>
          </w:tcPr>
          <w:p w14:paraId="159B1986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 xml:space="preserve">Materijalni i financijski rashodi i rashodi za tekuće i investicijsko održavanje EUR (bez prijevoza) </w:t>
            </w:r>
          </w:p>
        </w:tc>
        <w:tc>
          <w:tcPr>
            <w:tcW w:w="2126" w:type="dxa"/>
          </w:tcPr>
          <w:p w14:paraId="7A2EE28C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>Troškovi prijevoza učenika,  EUR</w:t>
            </w:r>
          </w:p>
        </w:tc>
        <w:tc>
          <w:tcPr>
            <w:tcW w:w="2268" w:type="dxa"/>
          </w:tcPr>
          <w:p w14:paraId="73B60FE4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>Rashodi za nabavu proizvedene dugotrajne imovine,</w:t>
            </w:r>
          </w:p>
          <w:p w14:paraId="2A8C818F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>EUR</w:t>
            </w:r>
          </w:p>
        </w:tc>
        <w:tc>
          <w:tcPr>
            <w:tcW w:w="2268" w:type="dxa"/>
          </w:tcPr>
          <w:p w14:paraId="6B531BCB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>UKUPNO  (EUR)</w:t>
            </w:r>
          </w:p>
        </w:tc>
      </w:tr>
      <w:tr w:rsidR="009D09C4" w:rsidRPr="009D09C4" w14:paraId="4126B701" w14:textId="77777777" w:rsidTr="00572B5E">
        <w:tc>
          <w:tcPr>
            <w:tcW w:w="2972" w:type="dxa"/>
          </w:tcPr>
          <w:p w14:paraId="2FF9EEBF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2248EB08" w14:textId="7D5281D1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</w:t>
            </w:r>
            <w:r w:rsidR="00354B07">
              <w:rPr>
                <w:rFonts w:ascii="Times New Roman" w:hAnsi="Times New Roman"/>
                <w:noProof w:val="0"/>
                <w:sz w:val="24"/>
                <w:szCs w:val="24"/>
              </w:rPr>
              <w:t>90.222</w:t>
            </w:r>
          </w:p>
          <w:p w14:paraId="626D5CFC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5098A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D09C4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</w:t>
            </w:r>
          </w:p>
          <w:p w14:paraId="289BAC61" w14:textId="56D2C304" w:rsidR="009D09C4" w:rsidRPr="009D09C4" w:rsidRDefault="00354B07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177.586</w:t>
            </w:r>
          </w:p>
        </w:tc>
        <w:tc>
          <w:tcPr>
            <w:tcW w:w="2268" w:type="dxa"/>
          </w:tcPr>
          <w:p w14:paraId="7730D662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279D62F1" w14:textId="5A3BEDD6" w:rsidR="009D09C4" w:rsidRPr="009D09C4" w:rsidRDefault="00354B07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 xml:space="preserve"> 37.730</w:t>
            </w:r>
          </w:p>
        </w:tc>
        <w:tc>
          <w:tcPr>
            <w:tcW w:w="2268" w:type="dxa"/>
          </w:tcPr>
          <w:p w14:paraId="5BE97C69" w14:textId="77777777" w:rsidR="009D09C4" w:rsidRPr="009D09C4" w:rsidRDefault="009D09C4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27569F37" w14:textId="2112C707" w:rsidR="009D09C4" w:rsidRPr="009D09C4" w:rsidRDefault="00354B07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305.538</w:t>
            </w:r>
          </w:p>
        </w:tc>
      </w:tr>
      <w:tr w:rsidR="000E01CD" w:rsidRPr="009D09C4" w14:paraId="7F519F7C" w14:textId="77777777" w:rsidTr="00662EBE">
        <w:tc>
          <w:tcPr>
            <w:tcW w:w="5098" w:type="dxa"/>
            <w:gridSpan w:val="2"/>
          </w:tcPr>
          <w:p w14:paraId="34490566" w14:textId="7E7E09C5" w:rsidR="000E01CD" w:rsidRDefault="000E01CD" w:rsidP="000E01CD">
            <w:pPr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Ukupno 267.808</w:t>
            </w:r>
          </w:p>
          <w:p w14:paraId="256E37E3" w14:textId="77777777" w:rsidR="000E01CD" w:rsidRPr="009D09C4" w:rsidRDefault="000E01CD" w:rsidP="000E01CD">
            <w:pPr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62B56B" w14:textId="77777777" w:rsidR="000E01CD" w:rsidRPr="009D09C4" w:rsidRDefault="000E01CD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D674F5" w14:textId="77777777" w:rsidR="000E01CD" w:rsidRPr="009D09C4" w:rsidRDefault="000E01CD" w:rsidP="009D09C4">
            <w:pPr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</w:tr>
    </w:tbl>
    <w:p w14:paraId="054779C8" w14:textId="77777777" w:rsidR="009D09C4" w:rsidRPr="009D09C4" w:rsidRDefault="009D09C4" w:rsidP="009D09C4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217AE06" w14:textId="77777777" w:rsidR="00675A85" w:rsidRDefault="00675A85" w:rsidP="00B92D0F">
      <w:pPr>
        <w:jc w:val="both"/>
        <w:rPr>
          <w:rFonts w:ascii="Calibri" w:eastAsia="Times New Roman" w:hAnsi="Calibri" w:cs="Calibri"/>
          <w:noProof w:val="0"/>
          <w:color w:val="000000"/>
          <w:lang w:eastAsia="hr-HR"/>
        </w:rPr>
      </w:pPr>
    </w:p>
    <w:sectPr w:rsidR="00675A8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51838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E01CD"/>
    <w:rsid w:val="000E5A2F"/>
    <w:rsid w:val="000F037B"/>
    <w:rsid w:val="0015436F"/>
    <w:rsid w:val="00175814"/>
    <w:rsid w:val="001C469A"/>
    <w:rsid w:val="00275B0C"/>
    <w:rsid w:val="002C7B0F"/>
    <w:rsid w:val="00316C92"/>
    <w:rsid w:val="00347D72"/>
    <w:rsid w:val="00354B07"/>
    <w:rsid w:val="003F65C1"/>
    <w:rsid w:val="00421BCF"/>
    <w:rsid w:val="005A006E"/>
    <w:rsid w:val="006407A3"/>
    <w:rsid w:val="00675A85"/>
    <w:rsid w:val="00693AB1"/>
    <w:rsid w:val="007F22EC"/>
    <w:rsid w:val="008A562A"/>
    <w:rsid w:val="008C5FE5"/>
    <w:rsid w:val="00964D26"/>
    <w:rsid w:val="009B7A12"/>
    <w:rsid w:val="009D09C4"/>
    <w:rsid w:val="00A836D0"/>
    <w:rsid w:val="00AC35DA"/>
    <w:rsid w:val="00AD704E"/>
    <w:rsid w:val="00B92D0F"/>
    <w:rsid w:val="00C32CA2"/>
    <w:rsid w:val="00C9578C"/>
    <w:rsid w:val="00D01868"/>
    <w:rsid w:val="00D707B3"/>
    <w:rsid w:val="00E16170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82A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table" w:customStyle="1" w:styleId="TableGrid2">
    <w:name w:val="Table Grid2"/>
    <w:basedOn w:val="Obinatablica"/>
    <w:next w:val="Reetkatablice"/>
    <w:uiPriority w:val="39"/>
    <w:rsid w:val="009D09C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FC5231F0-A104-43F3-AAC4-D513B8AECBD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Elvira Babić Marković</cp:lastModifiedBy>
  <cp:revision>21</cp:revision>
  <cp:lastPrinted>2025-02-04T12:16:00Z</cp:lastPrinted>
  <dcterms:created xsi:type="dcterms:W3CDTF">2025-02-04T08:39:00Z</dcterms:created>
  <dcterms:modified xsi:type="dcterms:W3CDTF">2025-02-04T12:19:00Z</dcterms:modified>
</cp:coreProperties>
</file>